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40" w:rsidRDefault="00152E40" w:rsidP="00152E40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</w:p>
    <w:p w:rsidR="00A556F3" w:rsidRDefault="00A556F3" w:rsidP="00152E40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9D178E">
        <w:rPr>
          <w:rFonts w:ascii="Arial" w:hAnsi="Arial" w:cs="Arial"/>
          <w:bCs/>
          <w:spacing w:val="-3"/>
          <w:sz w:val="22"/>
          <w:szCs w:val="22"/>
        </w:rPr>
        <w:t>August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2009, </w:t>
      </w:r>
      <w:r w:rsidRPr="00E314F2">
        <w:rPr>
          <w:rFonts w:ascii="Arial" w:hAnsi="Arial" w:cs="Arial"/>
          <w:bCs/>
          <w:spacing w:val="-3"/>
          <w:sz w:val="22"/>
          <w:szCs w:val="22"/>
        </w:rPr>
        <w:t>Cabinet considered a submission on the impa</w:t>
      </w:r>
      <w:r w:rsidR="00AD59FC">
        <w:rPr>
          <w:rFonts w:ascii="Arial" w:hAnsi="Arial" w:cs="Arial"/>
          <w:bCs/>
          <w:spacing w:val="-3"/>
          <w:sz w:val="22"/>
          <w:szCs w:val="22"/>
        </w:rPr>
        <w:t xml:space="preserve">cts of the potential coal seam </w:t>
      </w:r>
      <w:r w:rsidRPr="00E314F2">
        <w:rPr>
          <w:rFonts w:ascii="Arial" w:hAnsi="Arial" w:cs="Arial"/>
          <w:bCs/>
          <w:spacing w:val="-3"/>
          <w:sz w:val="22"/>
          <w:szCs w:val="22"/>
        </w:rPr>
        <w:t>gas (CSG) and liquefied natural gas (LNG) industries.  The submission provided an update on the nine (9) key policy objectives that were established by Cabinet in September 2008.</w:t>
      </w:r>
    </w:p>
    <w:p w:rsidR="00A556F3" w:rsidRDefault="00A556F3" w:rsidP="00152E40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556F3" w:rsidRDefault="00A556F3" w:rsidP="00152E40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bCs/>
          <w:spacing w:val="-3"/>
          <w:sz w:val="22"/>
          <w:szCs w:val="22"/>
        </w:rPr>
        <w:t xml:space="preserve">These key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policy </w:t>
      </w:r>
      <w:r w:rsidRPr="00E314F2">
        <w:rPr>
          <w:rFonts w:ascii="Arial" w:hAnsi="Arial" w:cs="Arial"/>
          <w:bCs/>
          <w:spacing w:val="-3"/>
          <w:sz w:val="22"/>
          <w:szCs w:val="22"/>
        </w:rPr>
        <w:t>objectives include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A556F3" w:rsidRPr="000D19EA" w:rsidRDefault="00A556F3" w:rsidP="00152E40">
      <w:pPr>
        <w:numPr>
          <w:ilvl w:val="0"/>
          <w:numId w:val="10"/>
        </w:numPr>
        <w:tabs>
          <w:tab w:val="clear" w:pos="717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E314F2">
        <w:rPr>
          <w:rFonts w:ascii="Arial" w:hAnsi="Arial" w:cs="Arial"/>
          <w:kern w:val="20"/>
          <w:sz w:val="22"/>
          <w:szCs w:val="22"/>
        </w:rPr>
        <w:t xml:space="preserve">security of domestic gas supply; </w:t>
      </w:r>
    </w:p>
    <w:p w:rsidR="00A556F3" w:rsidRPr="000D19EA" w:rsidRDefault="00A556F3" w:rsidP="00152E40">
      <w:pPr>
        <w:numPr>
          <w:ilvl w:val="0"/>
          <w:numId w:val="10"/>
        </w:numPr>
        <w:tabs>
          <w:tab w:val="clear" w:pos="717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kern w:val="20"/>
          <w:sz w:val="22"/>
          <w:szCs w:val="22"/>
        </w:rPr>
        <w:t xml:space="preserve">electricity and domestic gas </w:t>
      </w:r>
      <w:r w:rsidR="00261BE2">
        <w:rPr>
          <w:rFonts w:ascii="Arial" w:hAnsi="Arial" w:cs="Arial"/>
          <w:kern w:val="20"/>
          <w:sz w:val="22"/>
          <w:szCs w:val="22"/>
        </w:rPr>
        <w:t>market</w:t>
      </w:r>
      <w:r w:rsidRPr="00E314F2">
        <w:rPr>
          <w:rFonts w:ascii="Arial" w:hAnsi="Arial" w:cs="Arial"/>
          <w:kern w:val="20"/>
          <w:sz w:val="22"/>
          <w:szCs w:val="22"/>
        </w:rPr>
        <w:t xml:space="preserve"> impacts</w:t>
      </w:r>
      <w:r w:rsidR="00261BE2">
        <w:rPr>
          <w:rFonts w:ascii="Arial" w:hAnsi="Arial" w:cs="Arial"/>
          <w:kern w:val="20"/>
          <w:sz w:val="22"/>
          <w:szCs w:val="22"/>
        </w:rPr>
        <w:t xml:space="preserve"> to be monitored -</w:t>
      </w:r>
      <w:r w:rsidRPr="00E314F2">
        <w:rPr>
          <w:rFonts w:ascii="Arial" w:hAnsi="Arial" w:cs="Arial"/>
          <w:kern w:val="20"/>
          <w:sz w:val="22"/>
          <w:szCs w:val="22"/>
        </w:rPr>
        <w:t xml:space="preserve"> groundwater resources should not be adversely affected; </w:t>
      </w:r>
    </w:p>
    <w:p w:rsidR="00A556F3" w:rsidRDefault="00A556F3" w:rsidP="00152E40">
      <w:pPr>
        <w:numPr>
          <w:ilvl w:val="0"/>
          <w:numId w:val="10"/>
        </w:numPr>
        <w:tabs>
          <w:tab w:val="clear" w:pos="717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bCs/>
          <w:spacing w:val="-3"/>
          <w:sz w:val="22"/>
          <w:szCs w:val="22"/>
        </w:rPr>
        <w:t xml:space="preserve">produced water should not be environmentally damaging; </w:t>
      </w:r>
    </w:p>
    <w:p w:rsidR="00A556F3" w:rsidRPr="000D19EA" w:rsidRDefault="00A556F3" w:rsidP="00152E40">
      <w:pPr>
        <w:numPr>
          <w:ilvl w:val="0"/>
          <w:numId w:val="10"/>
        </w:numPr>
        <w:tabs>
          <w:tab w:val="clear" w:pos="717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bCs/>
          <w:spacing w:val="-3"/>
          <w:sz w:val="22"/>
          <w:szCs w:val="22"/>
        </w:rPr>
        <w:t>impa</w:t>
      </w:r>
      <w:r w:rsidRPr="00E314F2">
        <w:rPr>
          <w:rFonts w:ascii="Arial" w:hAnsi="Arial" w:cs="Arial"/>
          <w:kern w:val="20"/>
          <w:sz w:val="22"/>
          <w:szCs w:val="22"/>
        </w:rPr>
        <w:t xml:space="preserve">cts and benefits to rural communities must be acceptable; </w:t>
      </w:r>
    </w:p>
    <w:p w:rsidR="00A556F3" w:rsidRPr="000D19EA" w:rsidRDefault="00A556F3" w:rsidP="00152E40">
      <w:pPr>
        <w:numPr>
          <w:ilvl w:val="0"/>
          <w:numId w:val="10"/>
        </w:numPr>
        <w:tabs>
          <w:tab w:val="clear" w:pos="717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kern w:val="20"/>
          <w:sz w:val="22"/>
          <w:szCs w:val="22"/>
        </w:rPr>
        <w:t>satisf</w:t>
      </w:r>
      <w:r w:rsidR="00152E40">
        <w:rPr>
          <w:rFonts w:ascii="Arial" w:hAnsi="Arial" w:cs="Arial"/>
          <w:kern w:val="20"/>
          <w:sz w:val="22"/>
          <w:szCs w:val="22"/>
        </w:rPr>
        <w:t>actory financial return to the s</w:t>
      </w:r>
      <w:r w:rsidRPr="00E314F2">
        <w:rPr>
          <w:rFonts w:ascii="Arial" w:hAnsi="Arial" w:cs="Arial"/>
          <w:kern w:val="20"/>
          <w:sz w:val="22"/>
          <w:szCs w:val="22"/>
        </w:rPr>
        <w:t xml:space="preserve">tate; </w:t>
      </w:r>
    </w:p>
    <w:p w:rsidR="00A556F3" w:rsidRPr="000D19EA" w:rsidRDefault="00A556F3" w:rsidP="00152E40">
      <w:pPr>
        <w:numPr>
          <w:ilvl w:val="0"/>
          <w:numId w:val="10"/>
        </w:numPr>
        <w:tabs>
          <w:tab w:val="clear" w:pos="717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kern w:val="20"/>
          <w:sz w:val="22"/>
          <w:szCs w:val="22"/>
        </w:rPr>
        <w:t xml:space="preserve">domestic gas consumption to be promoted; </w:t>
      </w:r>
    </w:p>
    <w:p w:rsidR="00A556F3" w:rsidRPr="000D19EA" w:rsidRDefault="00A556F3" w:rsidP="00152E40">
      <w:pPr>
        <w:numPr>
          <w:ilvl w:val="0"/>
          <w:numId w:val="10"/>
        </w:numPr>
        <w:tabs>
          <w:tab w:val="clear" w:pos="717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kern w:val="20"/>
          <w:sz w:val="22"/>
          <w:szCs w:val="22"/>
        </w:rPr>
        <w:t xml:space="preserve">CSG/LNG industry to contribute to domestic gas infrastructure; and </w:t>
      </w:r>
    </w:p>
    <w:p w:rsidR="00A556F3" w:rsidRPr="00A556F3" w:rsidRDefault="00A556F3" w:rsidP="00152E40">
      <w:pPr>
        <w:numPr>
          <w:ilvl w:val="0"/>
          <w:numId w:val="10"/>
        </w:numPr>
        <w:tabs>
          <w:tab w:val="clear" w:pos="717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14F2">
        <w:rPr>
          <w:rFonts w:ascii="Arial" w:hAnsi="Arial" w:cs="Arial"/>
          <w:kern w:val="20"/>
          <w:sz w:val="22"/>
          <w:szCs w:val="22"/>
        </w:rPr>
        <w:t>LNG infrastruct</w:t>
      </w:r>
      <w:r w:rsidR="00152E40">
        <w:rPr>
          <w:rFonts w:ascii="Arial" w:hAnsi="Arial" w:cs="Arial"/>
          <w:kern w:val="20"/>
          <w:sz w:val="22"/>
          <w:szCs w:val="22"/>
        </w:rPr>
        <w:t>ure is not to be funded by the s</w:t>
      </w:r>
      <w:r w:rsidRPr="00E314F2">
        <w:rPr>
          <w:rFonts w:ascii="Arial" w:hAnsi="Arial" w:cs="Arial"/>
          <w:kern w:val="20"/>
          <w:sz w:val="22"/>
          <w:szCs w:val="22"/>
        </w:rPr>
        <w:t>tate.</w:t>
      </w:r>
      <w:r w:rsidRPr="00E314F2">
        <w:rPr>
          <w:rFonts w:ascii="Arial" w:hAnsi="Arial" w:cs="Arial"/>
          <w:sz w:val="22"/>
          <w:szCs w:val="22"/>
        </w:rPr>
        <w:t xml:space="preserve"> </w:t>
      </w:r>
    </w:p>
    <w:p w:rsidR="00152E40" w:rsidRDefault="00152E40" w:rsidP="00152E40">
      <w:pPr>
        <w:tabs>
          <w:tab w:val="left" w:pos="567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556F3" w:rsidRDefault="00A556F3" w:rsidP="00152E40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attached docum</w:t>
      </w:r>
      <w:r w:rsidR="00152E40">
        <w:rPr>
          <w:rFonts w:ascii="Arial" w:hAnsi="Arial" w:cs="Arial"/>
          <w:bCs/>
          <w:spacing w:val="-3"/>
          <w:sz w:val="22"/>
          <w:szCs w:val="22"/>
        </w:rPr>
        <w:t>ents provide an outline of the s</w:t>
      </w:r>
      <w:r>
        <w:rPr>
          <w:rFonts w:ascii="Arial" w:hAnsi="Arial" w:cs="Arial"/>
          <w:bCs/>
          <w:spacing w:val="-3"/>
          <w:sz w:val="22"/>
          <w:szCs w:val="22"/>
        </w:rPr>
        <w:t>tate’s facilitation of the LNG industry and the progress towards the key policy objectives.</w:t>
      </w:r>
    </w:p>
    <w:p w:rsidR="00152E40" w:rsidRPr="00152E40" w:rsidRDefault="00152E40" w:rsidP="00152E40">
      <w:pPr>
        <w:tabs>
          <w:tab w:val="left" w:pos="567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0341E7" w:rsidRPr="00A556F3" w:rsidRDefault="000341E7" w:rsidP="00152E40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542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702B0">
        <w:rPr>
          <w:rFonts w:ascii="Arial" w:hAnsi="Arial" w:cs="Arial"/>
          <w:sz w:val="22"/>
          <w:szCs w:val="22"/>
          <w:u w:val="single"/>
        </w:rPr>
        <w:t>not</w:t>
      </w:r>
      <w:r w:rsidR="00E868F2">
        <w:rPr>
          <w:rFonts w:ascii="Arial" w:hAnsi="Arial" w:cs="Arial"/>
          <w:sz w:val="22"/>
          <w:szCs w:val="22"/>
          <w:u w:val="single"/>
        </w:rPr>
        <w:t>e</w:t>
      </w:r>
      <w:r w:rsidR="00D702B0">
        <w:rPr>
          <w:rFonts w:ascii="Arial" w:hAnsi="Arial" w:cs="Arial"/>
          <w:sz w:val="22"/>
          <w:szCs w:val="22"/>
          <w:u w:val="single"/>
        </w:rPr>
        <w:t>d</w:t>
      </w:r>
      <w:r w:rsidRPr="00D76902">
        <w:rPr>
          <w:rFonts w:ascii="Arial" w:hAnsi="Arial" w:cs="Arial"/>
          <w:sz w:val="22"/>
          <w:szCs w:val="22"/>
        </w:rPr>
        <w:t xml:space="preserve"> </w:t>
      </w:r>
      <w:r w:rsidR="00A556F3">
        <w:rPr>
          <w:rFonts w:ascii="Arial" w:hAnsi="Arial" w:cs="Arial"/>
          <w:sz w:val="22"/>
          <w:szCs w:val="22"/>
        </w:rPr>
        <w:t>the progress on these key policy objectives.</w:t>
      </w:r>
    </w:p>
    <w:p w:rsidR="00152E40" w:rsidRDefault="00152E40" w:rsidP="00152E40">
      <w:pPr>
        <w:tabs>
          <w:tab w:val="left" w:pos="567"/>
        </w:tabs>
        <w:ind w:left="1134" w:hanging="567"/>
        <w:jc w:val="both"/>
        <w:rPr>
          <w:rFonts w:ascii="Arial" w:hAnsi="Arial" w:cs="Arial"/>
          <w:sz w:val="22"/>
          <w:szCs w:val="22"/>
          <w:u w:val="single"/>
        </w:rPr>
      </w:pPr>
    </w:p>
    <w:p w:rsidR="00A556F3" w:rsidRPr="00D76902" w:rsidRDefault="00A556F3" w:rsidP="00152E40">
      <w:pPr>
        <w:tabs>
          <w:tab w:val="left" w:pos="567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A556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progress continue on these objectives.</w:t>
      </w:r>
    </w:p>
    <w:p w:rsidR="00152E40" w:rsidRPr="00152E40" w:rsidRDefault="00152E40" w:rsidP="00152E40">
      <w:pPr>
        <w:tabs>
          <w:tab w:val="left" w:pos="567"/>
        </w:tabs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</w:p>
    <w:p w:rsidR="00D11AB6" w:rsidRPr="00D809B0" w:rsidRDefault="00D11AB6" w:rsidP="00152E40">
      <w:pPr>
        <w:numPr>
          <w:ilvl w:val="0"/>
          <w:numId w:val="5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D809B0">
        <w:rPr>
          <w:rFonts w:ascii="Arial" w:hAnsi="Arial" w:cs="Arial"/>
          <w:i/>
          <w:sz w:val="22"/>
          <w:szCs w:val="22"/>
          <w:u w:val="single"/>
        </w:rPr>
        <w:t>Attachments</w:t>
      </w:r>
      <w:r w:rsidR="00D809B0" w:rsidRPr="00D809B0">
        <w:rPr>
          <w:rFonts w:ascii="Arial" w:hAnsi="Arial" w:cs="Arial"/>
          <w:i/>
          <w:sz w:val="22"/>
          <w:szCs w:val="22"/>
          <w:u w:val="single"/>
        </w:rPr>
        <w:t>:</w:t>
      </w:r>
    </w:p>
    <w:p w:rsidR="00D809B0" w:rsidRPr="00D702B0" w:rsidRDefault="00D809B0" w:rsidP="00D809B0">
      <w:pPr>
        <w:tabs>
          <w:tab w:val="left" w:pos="567"/>
        </w:tabs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</w:p>
    <w:p w:rsidR="00F60E62" w:rsidRDefault="00D36A14" w:rsidP="00D809B0">
      <w:pPr>
        <w:numPr>
          <w:ilvl w:val="0"/>
          <w:numId w:val="7"/>
        </w:numPr>
        <w:tabs>
          <w:tab w:val="clear" w:pos="720"/>
          <w:tab w:val="left" w:pos="1134"/>
        </w:tabs>
        <w:ind w:left="1134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846878" w:rsidRPr="00846878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Blueprint for Queensland's LNG Industry</w:t>
        </w:r>
      </w:hyperlink>
    </w:p>
    <w:sectPr w:rsidR="00F60E62" w:rsidSect="00E868F2">
      <w:headerReference w:type="default" r:id="rId8"/>
      <w:pgSz w:w="11906" w:h="16838"/>
      <w:pgMar w:top="1440" w:right="1800" w:bottom="1440" w:left="1800" w:header="8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C6" w:rsidRDefault="00E66AC6" w:rsidP="005A61A6">
      <w:r>
        <w:separator/>
      </w:r>
    </w:p>
  </w:endnote>
  <w:endnote w:type="continuationSeparator" w:id="0">
    <w:p w:rsidR="00E66AC6" w:rsidRDefault="00E66AC6" w:rsidP="005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C6" w:rsidRDefault="00E66AC6" w:rsidP="005A61A6">
      <w:r>
        <w:separator/>
      </w:r>
    </w:p>
  </w:footnote>
  <w:footnote w:type="continuationSeparator" w:id="0">
    <w:p w:rsidR="00E66AC6" w:rsidRDefault="00E66AC6" w:rsidP="005A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CB" w:rsidRPr="00D0171D" w:rsidRDefault="00665D48" w:rsidP="00152E40">
    <w:pPr>
      <w:pStyle w:val="Header"/>
      <w:ind w:firstLine="2880"/>
      <w:rPr>
        <w:rFonts w:ascii="Arial" w:hAnsi="Arial" w:cs="Arial"/>
        <w:b/>
        <w:sz w:val="22"/>
        <w:szCs w:val="22"/>
        <w:lang w:eastAsia="ja-JP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DC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F4DCB">
      <w:rPr>
        <w:rFonts w:ascii="Arial" w:hAnsi="Arial" w:cs="Arial"/>
        <w:b/>
        <w:sz w:val="22"/>
        <w:szCs w:val="22"/>
        <w:u w:val="single"/>
      </w:rPr>
      <w:t>August 2009</w:t>
    </w:r>
  </w:p>
  <w:p w:rsidR="00DF4DCB" w:rsidRDefault="00DF4DCB" w:rsidP="00152E40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DF4DCB" w:rsidRDefault="00DF4DCB" w:rsidP="00152E40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Liquefied Natural Gas (LNG) Impacts Review</w:t>
    </w:r>
  </w:p>
  <w:p w:rsidR="00DF4DCB" w:rsidRDefault="00DF4DCB" w:rsidP="00152E40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DF4DCB" w:rsidRDefault="00D84AED" w:rsidP="00152E40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Treasurer and </w:t>
    </w:r>
    <w:r w:rsidR="00DF4DCB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>Employment and Economic Development</w:t>
    </w:r>
  </w:p>
  <w:p w:rsidR="00DF4DCB" w:rsidRDefault="00DF4DCB" w:rsidP="00152E4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971"/>
    <w:multiLevelType w:val="hybridMultilevel"/>
    <w:tmpl w:val="9244A87C"/>
    <w:lvl w:ilvl="0" w:tplc="702A9594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A6F717C"/>
    <w:multiLevelType w:val="hybridMultilevel"/>
    <w:tmpl w:val="EE18BB0E"/>
    <w:lvl w:ilvl="0" w:tplc="AF3E8DCA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042FB0"/>
    <w:multiLevelType w:val="hybridMultilevel"/>
    <w:tmpl w:val="55760EC6"/>
    <w:lvl w:ilvl="0" w:tplc="702A9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E3049"/>
    <w:multiLevelType w:val="multilevel"/>
    <w:tmpl w:val="9244A87C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259D3B9A"/>
    <w:multiLevelType w:val="hybridMultilevel"/>
    <w:tmpl w:val="914EF91A"/>
    <w:lvl w:ilvl="0" w:tplc="1576B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5E0FA7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3356D"/>
    <w:multiLevelType w:val="hybridMultilevel"/>
    <w:tmpl w:val="932A4DEA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F33C7D"/>
    <w:multiLevelType w:val="hybridMultilevel"/>
    <w:tmpl w:val="1CC654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B9D7FB3"/>
    <w:multiLevelType w:val="hybridMultilevel"/>
    <w:tmpl w:val="9D2ABDB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D"/>
    <w:rsid w:val="0002414E"/>
    <w:rsid w:val="000241ED"/>
    <w:rsid w:val="000341E7"/>
    <w:rsid w:val="00036DF1"/>
    <w:rsid w:val="000443CF"/>
    <w:rsid w:val="00046CF5"/>
    <w:rsid w:val="000566B8"/>
    <w:rsid w:val="0014565B"/>
    <w:rsid w:val="001500CE"/>
    <w:rsid w:val="00152E40"/>
    <w:rsid w:val="00167807"/>
    <w:rsid w:val="001710F3"/>
    <w:rsid w:val="00175A5F"/>
    <w:rsid w:val="001C7361"/>
    <w:rsid w:val="0023116C"/>
    <w:rsid w:val="00261BE2"/>
    <w:rsid w:val="00297BE4"/>
    <w:rsid w:val="002C2A2A"/>
    <w:rsid w:val="00300C42"/>
    <w:rsid w:val="00300E9F"/>
    <w:rsid w:val="00307FDB"/>
    <w:rsid w:val="00324229"/>
    <w:rsid w:val="00327526"/>
    <w:rsid w:val="0039327F"/>
    <w:rsid w:val="00396753"/>
    <w:rsid w:val="003A44AD"/>
    <w:rsid w:val="003A6612"/>
    <w:rsid w:val="00410083"/>
    <w:rsid w:val="0046534C"/>
    <w:rsid w:val="004763E9"/>
    <w:rsid w:val="00500BA3"/>
    <w:rsid w:val="00543E98"/>
    <w:rsid w:val="005A61A6"/>
    <w:rsid w:val="005A6698"/>
    <w:rsid w:val="00620C35"/>
    <w:rsid w:val="0062420A"/>
    <w:rsid w:val="00651E1E"/>
    <w:rsid w:val="00665452"/>
    <w:rsid w:val="00665D48"/>
    <w:rsid w:val="00694E81"/>
    <w:rsid w:val="00797017"/>
    <w:rsid w:val="007E3613"/>
    <w:rsid w:val="00812B47"/>
    <w:rsid w:val="00846878"/>
    <w:rsid w:val="008C315E"/>
    <w:rsid w:val="008D3DF1"/>
    <w:rsid w:val="008E36D3"/>
    <w:rsid w:val="009273CC"/>
    <w:rsid w:val="009313DD"/>
    <w:rsid w:val="009363A3"/>
    <w:rsid w:val="0097297C"/>
    <w:rsid w:val="009D178E"/>
    <w:rsid w:val="00A15425"/>
    <w:rsid w:val="00A556F3"/>
    <w:rsid w:val="00AB74DD"/>
    <w:rsid w:val="00AD59FC"/>
    <w:rsid w:val="00BE56F3"/>
    <w:rsid w:val="00C331A0"/>
    <w:rsid w:val="00C76168"/>
    <w:rsid w:val="00C837D1"/>
    <w:rsid w:val="00C84385"/>
    <w:rsid w:val="00D0171D"/>
    <w:rsid w:val="00D11AB6"/>
    <w:rsid w:val="00D35273"/>
    <w:rsid w:val="00D36A14"/>
    <w:rsid w:val="00D47F77"/>
    <w:rsid w:val="00D702B0"/>
    <w:rsid w:val="00D76902"/>
    <w:rsid w:val="00D809B0"/>
    <w:rsid w:val="00D84AED"/>
    <w:rsid w:val="00DB2848"/>
    <w:rsid w:val="00DD5B30"/>
    <w:rsid w:val="00DF4DCB"/>
    <w:rsid w:val="00E21463"/>
    <w:rsid w:val="00E66AC6"/>
    <w:rsid w:val="00E868F2"/>
    <w:rsid w:val="00EA383E"/>
    <w:rsid w:val="00EB0E81"/>
    <w:rsid w:val="00EF652E"/>
    <w:rsid w:val="00F267D9"/>
    <w:rsid w:val="00F34F24"/>
    <w:rsid w:val="00F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E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41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1E7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0341E7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D76902"/>
    <w:rPr>
      <w:sz w:val="16"/>
      <w:szCs w:val="16"/>
    </w:rPr>
  </w:style>
  <w:style w:type="paragraph" w:styleId="CommentText">
    <w:name w:val="annotation text"/>
    <w:basedOn w:val="Normal"/>
    <w:semiHidden/>
    <w:rsid w:val="00D76902"/>
    <w:rPr>
      <w:sz w:val="20"/>
    </w:rPr>
  </w:style>
  <w:style w:type="paragraph" w:styleId="CommentSubject">
    <w:name w:val="annotation subject"/>
    <w:basedOn w:val="CommentText"/>
    <w:next w:val="CommentText"/>
    <w:semiHidden/>
    <w:rsid w:val="00D76902"/>
    <w:rPr>
      <w:b/>
      <w:bCs/>
    </w:rPr>
  </w:style>
  <w:style w:type="paragraph" w:styleId="BalloonText">
    <w:name w:val="Balloon Text"/>
    <w:basedOn w:val="Normal"/>
    <w:semiHidden/>
    <w:rsid w:val="00D76902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846878"/>
    <w:rPr>
      <w:color w:val="0000FF"/>
      <w:u w:val="single"/>
    </w:rPr>
  </w:style>
  <w:style w:type="character" w:styleId="FollowedHyperlink">
    <w:name w:val="FollowedHyperlink"/>
    <w:basedOn w:val="DefaultParagraphFont"/>
    <w:rsid w:val="00D809B0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LNG%20Indust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953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1124</CharactersWithSpaces>
  <SharedDoc>false</SharedDoc>
  <HyperlinkBase>https://www.cabinet.qld.gov.au/documents/2009/Aug/LNG Impacts Review/</HyperlinkBase>
  <HLinks>
    <vt:vector size="6" baseType="variant">
      <vt:variant>
        <vt:i4>852043</vt:i4>
      </vt:variant>
      <vt:variant>
        <vt:i4>0</vt:i4>
      </vt:variant>
      <vt:variant>
        <vt:i4>0</vt:i4>
      </vt:variant>
      <vt:variant>
        <vt:i4>5</vt:i4>
      </vt:variant>
      <vt:variant>
        <vt:lpwstr>Attachments/LNG Industry.pdf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Coal</cp:keywords>
  <dc:description/>
  <cp:lastModifiedBy/>
  <cp:revision>2</cp:revision>
  <cp:lastPrinted>2009-10-05T00:08:00Z</cp:lastPrinted>
  <dcterms:created xsi:type="dcterms:W3CDTF">2017-10-24T21:58:00Z</dcterms:created>
  <dcterms:modified xsi:type="dcterms:W3CDTF">2018-03-06T00:55:00Z</dcterms:modified>
  <cp:category>Gas,Electricity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-417406905</vt:i4>
  </property>
  <property fmtid="{D5CDD505-2E9C-101B-9397-08002B2CF9AE}" pid="4" name="_ReviewingToolsShownOnce">
    <vt:lpwstr/>
  </property>
</Properties>
</file>